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0"/>
        <w:ind w:left="6521" w:hanging="6521"/>
        <w:keepNext w:val="0"/>
        <w:spacing w:line="240" w:lineRule="auto"/>
        <w:rPr>
          <w:rFonts w:eastAsia="Calibri"/>
          <w:lang w:eastAsia="en-US"/>
        </w:rPr>
      </w:pPr>
      <w:r/>
      <w:bookmarkStart w:id="0" w:name="_Toc205704363"/>
      <w:r/>
      <w:bookmarkStart w:id="1" w:name="_Toc205710349"/>
      <w:r/>
      <w:bookmarkStart w:id="2" w:name="_Toc205710567"/>
      <w:r/>
      <w:bookmarkStart w:id="3" w:name="_Toc205790351"/>
      <w:r/>
      <w:bookmarkStart w:id="4" w:name="_Toc206992718"/>
      <w:r/>
      <w:bookmarkStart w:id="5" w:name="_Toc226255475"/>
      <w:r/>
      <w:bookmarkStart w:id="6" w:name="_Toc226272795"/>
      <w:r/>
      <w:bookmarkStart w:id="7" w:name="_Toc226431272"/>
      <w:r/>
      <w:bookmarkStart w:id="8" w:name="_Toc226438822"/>
      <w:r/>
      <w:bookmarkStart w:id="9" w:name="_Ref93217065"/>
      <w:r/>
      <w:bookmarkStart w:id="10" w:name="_Toc176765755"/>
      <w:r/>
      <w:bookmarkStart w:id="11" w:name="ЗАКАЗ"/>
      <w:r>
        <w:rPr>
          <w:u w:val="single"/>
        </w:rPr>
        <w:t xml:space="preserve">СО ТЗ.0029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710"/>
        <w:ind w:firstLine="0"/>
        <w:jc w:val="right"/>
        <w:keepNext w:val="0"/>
        <w:spacing w:line="240" w:lineRule="auto"/>
        <w:rPr>
          <w:rFonts w:eastAsia="Calibri"/>
          <w:lang w:eastAsia="en-US"/>
        </w:rPr>
      </w:pPr>
      <w:r/>
      <w:bookmarkEnd w:id="0"/>
      <w:r/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204"/>
        <w:gridCol w:w="3969"/>
      </w:tblGrid>
      <w:tr>
        <w:tblPrEx/>
        <w:trPr>
          <w:trHeight w:val="223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04" w:type="dxa"/>
            <w:vAlign w:val="top"/>
            <w:textDirection w:val="lrTb"/>
            <w:noWrap w:val="false"/>
          </w:tcPr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УТВЕРЖДАЮ:</w:t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</w:t>
            </w:r>
            <w:r>
              <w:rPr>
                <w:rFonts w:eastAsia="Calibri"/>
                <w:lang w:eastAsia="en-US"/>
              </w:rPr>
              <w:t xml:space="preserve">аместител</w:t>
            </w:r>
            <w:r>
              <w:rPr>
                <w:rFonts w:eastAsia="Calibri"/>
                <w:lang w:eastAsia="en-US"/>
              </w:rPr>
              <w:t xml:space="preserve">ь</w:t>
            </w:r>
            <w:r>
              <w:rPr>
                <w:rFonts w:eastAsia="Calibri"/>
                <w:lang w:eastAsia="en-US"/>
              </w:rPr>
              <w:t xml:space="preserve"> генерального</w:t>
            </w:r>
            <w:r>
              <w:rPr>
                <w:rFonts w:eastAsia="Calibri"/>
                <w:lang w:eastAsia="en-US"/>
              </w:rPr>
              <w:t xml:space="preserve"> директора по техническим вопросам – главный инженер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АО</w:t>
            </w:r>
            <w:r>
              <w:rPr>
                <w:rFonts w:eastAsia="Calibri"/>
                <w:lang w:eastAsia="en-US"/>
              </w:rPr>
              <w:t xml:space="preserve"> «Россети Сибирь</w:t>
            </w:r>
            <w:r>
              <w:rPr>
                <w:rFonts w:eastAsia="Calibri"/>
                <w:lang w:eastAsia="en-US"/>
              </w:rPr>
              <w:t xml:space="preserve"> Тываэнерго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______</w:t>
            </w:r>
            <w:r>
              <w:rPr>
                <w:rFonts w:eastAsia="Calibri"/>
                <w:lang w:eastAsia="en-US"/>
              </w:rPr>
              <w:t xml:space="preserve">____________ </w:t>
            </w:r>
            <w:r>
              <w:rPr>
                <w:rFonts w:eastAsia="Calibri"/>
                <w:lang w:eastAsia="en-US"/>
              </w:rPr>
              <w:t xml:space="preserve">А.И. Таранков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«___»___________ 20__ г.</w:t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710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pStyle w:val="710"/>
        <w:ind w:firstLine="0"/>
        <w:jc w:val="left"/>
        <w:keepNext w:val="0"/>
        <w:spacing w:line="240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0"/>
        <w:ind w:firstLine="0"/>
        <w:jc w:val="center"/>
        <w:keepNext w:val="0"/>
        <w:spacing w:line="240" w:lineRule="auto"/>
        <w:rPr>
          <w:i/>
        </w:rPr>
      </w:pPr>
      <w:r>
        <w:rPr>
          <w:b/>
        </w:rPr>
        <w:t xml:space="preserve">ТЕХНИЧЕСКОЕ ЗАДАНИЕ </w:t>
      </w:r>
      <w:r>
        <w:rPr>
          <w:i/>
        </w:rPr>
      </w:r>
      <w:r>
        <w:rPr>
          <w:i/>
        </w:rPr>
      </w:r>
    </w:p>
    <w:p>
      <w:pPr>
        <w:pStyle w:val="710"/>
        <w:ind w:left="426" w:firstLine="0"/>
        <w:jc w:val="center"/>
        <w:keepNext w:val="0"/>
        <w:spacing w:line="240" w:lineRule="auto"/>
      </w:pPr>
      <w:r>
        <w:t xml:space="preserve">на проведение закупки </w:t>
      </w:r>
      <w:r>
        <w:t xml:space="preserve">на выполнение работ по ремонту автомобилей марки ВАЗ, ГАЗ,</w:t>
      </w:r>
      <w:r>
        <w:t xml:space="preserve"> </w:t>
      </w:r>
      <w:r>
        <w:t xml:space="preserve">ПАЗ, УАЗ, </w:t>
      </w:r>
      <w:r>
        <w:rPr>
          <w:lang w:val="en-US"/>
        </w:rPr>
        <w:t xml:space="preserve">Toyota</w:t>
      </w:r>
      <w:r>
        <w:t xml:space="preserve"> </w:t>
      </w:r>
      <w:r>
        <w:rPr>
          <w:lang w:val="en-US"/>
        </w:rPr>
        <w:t xml:space="preserve">Land</w:t>
      </w:r>
      <w:r>
        <w:t xml:space="preserve"> </w:t>
      </w:r>
      <w:r>
        <w:rPr>
          <w:lang w:val="en-US"/>
        </w:rPr>
        <w:t xml:space="preserve">Cruiser</w:t>
      </w:r>
      <w:r>
        <w:t xml:space="preserve"> для нужд ПО «Тываэнергосбыт»</w:t>
      </w:r>
      <w:r/>
    </w:p>
    <w:p>
      <w:pPr>
        <w:pStyle w:val="710"/>
        <w:ind w:left="426" w:firstLine="0"/>
        <w:jc w:val="center"/>
        <w:keepNext w:val="0"/>
        <w:spacing w:line="240" w:lineRule="auto"/>
      </w:pPr>
      <w:r/>
      <w:r/>
    </w:p>
    <w:p>
      <w:pPr>
        <w:pStyle w:val="710"/>
        <w:ind w:left="426" w:firstLine="425"/>
        <w:jc w:val="left"/>
        <w:keepNext w:val="0"/>
        <w:spacing w:line="240" w:lineRule="auto"/>
        <w:widowControl w:val="off"/>
        <w:tabs>
          <w:tab w:val="num" w:pos="1134" w:leader="none"/>
          <w:tab w:val="left" w:pos="1276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1. </w:t>
      </w:r>
      <w:r>
        <w:rPr>
          <w:b/>
          <w:szCs w:val="28"/>
        </w:rPr>
        <w:t xml:space="preserve">Общие требования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710"/>
        <w:ind w:left="426" w:firstLine="425"/>
        <w:jc w:val="left"/>
        <w:keepNext w:val="0"/>
        <w:spacing w:line="240" w:lineRule="auto"/>
        <w:widowControl w:val="off"/>
        <w:tabs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1.1. </w:t>
      </w:r>
      <w:r>
        <w:rPr>
          <w:szCs w:val="20"/>
        </w:rPr>
        <w:t xml:space="preserve">Требования к месту выполнения работ: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  <w:rPr>
          <w:i/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Выполнение работ производится в специально оборудованных пом</w:t>
      </w:r>
      <w:r>
        <w:rPr>
          <w:szCs w:val="20"/>
        </w:rPr>
        <w:t xml:space="preserve">ещениях (цехах, боксах и т.д.) и</w:t>
      </w:r>
      <w:r>
        <w:rPr>
          <w:szCs w:val="20"/>
        </w:rPr>
        <w:t xml:space="preserve">сполнителя на </w:t>
      </w:r>
      <w:r>
        <w:rPr>
          <w:szCs w:val="20"/>
        </w:rPr>
        <w:t xml:space="preserve">территории г. </w:t>
      </w:r>
      <w:r>
        <w:rPr>
          <w:szCs w:val="20"/>
        </w:rPr>
        <w:t xml:space="preserve">Кызыла</w:t>
      </w:r>
      <w:r>
        <w:rPr>
          <w:szCs w:val="20"/>
        </w:rPr>
        <w:t xml:space="preserve"> Республики Тыва</w:t>
      </w:r>
      <w:r>
        <w:rPr>
          <w:szCs w:val="20"/>
        </w:rPr>
        <w:t xml:space="preserve">.</w:t>
      </w:r>
      <w:r>
        <w:rPr>
          <w:szCs w:val="20"/>
        </w:rPr>
        <w:t xml:space="preserve"> </w:t>
      </w:r>
      <w:r>
        <w:rPr>
          <w:szCs w:val="20"/>
        </w:rPr>
        <w:t xml:space="preserve">Подрядчик</w:t>
      </w:r>
      <w:r>
        <w:rPr>
          <w:szCs w:val="20"/>
        </w:rPr>
        <w:t xml:space="preserve"> должен оказать услуги лично, или привле</w:t>
      </w:r>
      <w:r>
        <w:rPr>
          <w:szCs w:val="20"/>
        </w:rPr>
        <w:t xml:space="preserve">кать к выполнению услуг третьих </w:t>
      </w:r>
      <w:r>
        <w:rPr>
          <w:szCs w:val="20"/>
        </w:rPr>
        <w:t xml:space="preserve">лиц без увеличения стоимости услуг.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710"/>
        <w:ind w:left="426" w:firstLine="425"/>
        <w:jc w:val="left"/>
        <w:keepNext w:val="0"/>
        <w:spacing w:line="240" w:lineRule="auto"/>
        <w:widowControl w:val="off"/>
        <w:tabs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1.2. </w:t>
      </w:r>
      <w:r>
        <w:rPr>
          <w:szCs w:val="20"/>
        </w:rPr>
        <w:t xml:space="preserve">Требования к срокам выполнения работ:</w:t>
      </w:r>
      <w:r>
        <w:rPr>
          <w:szCs w:val="20"/>
        </w:rPr>
      </w:r>
    </w:p>
    <w:p>
      <w:pPr>
        <w:pStyle w:val="710"/>
        <w:ind w:left="426" w:firstLine="425"/>
        <w:keepLines/>
        <w:spacing w:line="240" w:lineRule="auto"/>
        <w:tabs>
          <w:tab w:val="left" w:pos="1276" w:leader="none"/>
        </w:tabs>
        <w:rPr>
          <w:i/>
          <w:szCs w:val="20"/>
        </w:rPr>
        <w:suppressLineNumbers/>
      </w:pPr>
      <w:r>
        <w:rPr>
          <w:lang w:val="en-US"/>
        </w:rPr>
        <w:t xml:space="preserve">C</w:t>
      </w:r>
      <w:r>
        <w:t xml:space="preserve">роки выполнения работ</w:t>
      </w:r>
      <w:r>
        <w:t xml:space="preserve"> указываются в заявке при приемке конкретного транспортного средства на обслуживание и согласовываются Сторонами.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left" w:pos="709" w:leader="none"/>
          <w:tab w:val="left" w:pos="1276" w:leader="none"/>
        </w:tabs>
        <w:rPr>
          <w:szCs w:val="20"/>
        </w:rPr>
      </w:pPr>
      <w:r>
        <w:rPr>
          <w:szCs w:val="20"/>
        </w:rPr>
        <w:t xml:space="preserve">1.3. </w:t>
      </w:r>
      <w:r>
        <w:rPr>
          <w:szCs w:val="20"/>
        </w:rPr>
        <w:t xml:space="preserve">Основные требования к применяемым</w:t>
      </w:r>
      <w:r>
        <w:rPr>
          <w:szCs w:val="20"/>
        </w:rPr>
        <w:t xml:space="preserve"> нормативам,</w:t>
      </w:r>
      <w:r>
        <w:rPr>
          <w:szCs w:val="20"/>
        </w:rPr>
        <w:t xml:space="preserve"> правилам: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 xml:space="preserve">Федеральный закон от 10.12.1995 N 196-ФЗ "О безопасности дорожного движения"</w:t>
      </w:r>
      <w:r>
        <w:rPr>
          <w:rFonts w:eastAsia="Calibri"/>
        </w:rPr>
        <w:t xml:space="preserve">; 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710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 xml:space="preserve">Т</w:t>
      </w:r>
      <w:r>
        <w:rPr>
          <w:rFonts w:eastAsia="Calibri"/>
        </w:rPr>
        <w:t xml:space="preserve">ехнический регламент</w:t>
      </w:r>
      <w:r>
        <w:rPr>
          <w:rFonts w:eastAsia="Calibri"/>
        </w:rPr>
        <w:t xml:space="preserve"> «О</w:t>
      </w:r>
      <w:r>
        <w:rPr>
          <w:rFonts w:eastAsia="Calibri"/>
        </w:rPr>
        <w:t xml:space="preserve"> безопасности колесных транспортных средств</w:t>
      </w:r>
      <w:r>
        <w:rPr>
          <w:rFonts w:eastAsia="Calibri"/>
        </w:rPr>
        <w:t xml:space="preserve">»</w:t>
      </w:r>
      <w:r>
        <w:rPr>
          <w:rFonts w:eastAsia="Calibri"/>
        </w:rPr>
        <w:t xml:space="preserve">;</w:t>
      </w:r>
      <w:r>
        <w:rPr>
          <w:rFonts w:eastAsia="Calibri"/>
        </w:rPr>
      </w:r>
    </w:p>
    <w:p>
      <w:pPr>
        <w:pStyle w:val="710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rFonts w:eastAsia="Calibri"/>
        </w:rPr>
        <w:t xml:space="preserve">- Технологические карты завода изготовителя по ремонту и техническому обслуживанию транспортных средств.</w:t>
      </w:r>
      <w:r>
        <w:rPr>
          <w:rFonts w:eastAsia="Calibri"/>
        </w:rPr>
        <w:t xml:space="preserve"> </w:t>
      </w:r>
      <w:r>
        <w:rPr>
          <w:rFonts w:eastAsia="Calibri"/>
        </w:rPr>
      </w:r>
    </w:p>
    <w:p>
      <w:pPr>
        <w:pStyle w:val="710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szCs w:val="20"/>
        </w:rPr>
        <w:t xml:space="preserve">1.4. </w:t>
      </w:r>
      <w:r>
        <w:rPr>
          <w:szCs w:val="20"/>
        </w:rPr>
        <w:t xml:space="preserve">Требования к организации ремонтных работ: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  <w:rPr>
          <w:bCs/>
        </w:rPr>
      </w:pPr>
      <w:r>
        <w:rPr>
          <w:szCs w:val="20"/>
        </w:rPr>
        <w:t xml:space="preserve">- </w:t>
      </w:r>
      <w:r>
        <w:rPr>
          <w:szCs w:val="20"/>
        </w:rPr>
        <w:t xml:space="preserve">Подрядчик</w:t>
      </w:r>
      <w:r>
        <w:t xml:space="preserve"> обеспечивает выполнение работ в полном о</w:t>
      </w:r>
      <w:r>
        <w:t xml:space="preserve">бъеме с надлежащим качеством в </w:t>
      </w:r>
      <w:r>
        <w:t xml:space="preserve">сроки указанные в </w:t>
      </w:r>
      <w:r>
        <w:t xml:space="preserve">Заявке на выполнение работ</w:t>
      </w:r>
      <w:r>
        <w:t xml:space="preserve">;</w:t>
      </w:r>
      <w:r>
        <w:rPr>
          <w:bCs/>
        </w:rPr>
      </w:r>
      <w:r>
        <w:rPr>
          <w:bCs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rPr>
          <w:bCs/>
        </w:rPr>
        <w:t xml:space="preserve">- </w:t>
      </w:r>
      <w:r>
        <w:rPr>
          <w:bCs/>
        </w:rPr>
        <w:t xml:space="preserve">Стоимость </w:t>
      </w:r>
      <w:r>
        <w:rPr>
          <w:bCs/>
        </w:rPr>
        <w:t xml:space="preserve">запасных частей и </w:t>
      </w:r>
      <w:r>
        <w:rPr>
          <w:bCs/>
        </w:rPr>
        <w:t xml:space="preserve">материалов, используемых подрядчиком при выполнении работ включена в стоимость договора</w:t>
      </w:r>
      <w:r>
        <w:t xml:space="preserve">. Все запасные части и материалы используемые при выполнении работ должны иметь необходимые сертификаты и соответствие требованиям ГОСТ. Использование </w:t>
      </w:r>
      <w:r>
        <w:t xml:space="preserve">запасных частей и </w:t>
      </w:r>
      <w:r>
        <w:t xml:space="preserve">материалов </w:t>
      </w:r>
      <w:r>
        <w:t xml:space="preserve">бывших в употреблении допускается только с письменного согласия Заказчика</w:t>
      </w:r>
      <w:r>
        <w:t xml:space="preserve">.</w:t>
      </w:r>
      <w:r/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rPr>
          <w:bCs/>
        </w:rPr>
        <w:t xml:space="preserve"> </w:t>
      </w:r>
      <w:r>
        <w:rPr>
          <w:bCs/>
        </w:rPr>
        <w:t xml:space="preserve">- </w:t>
      </w:r>
      <w:r>
        <w:rPr>
          <w:bCs/>
        </w:rPr>
        <w:t xml:space="preserve">Подрядчик принимает на себя обязательства по своевременному обеспечению работ </w:t>
      </w:r>
      <w:r>
        <w:rPr>
          <w:bCs/>
        </w:rPr>
        <w:t xml:space="preserve">запасными частями и </w:t>
      </w:r>
      <w:r>
        <w:rPr>
          <w:bCs/>
        </w:rPr>
        <w:t xml:space="preserve">материалами, под планируемые к выполнению работы и несет ответственность за </w:t>
      </w:r>
      <w:r>
        <w:rPr>
          <w:bCs/>
        </w:rPr>
        <w:t xml:space="preserve">их </w:t>
      </w:r>
      <w:r>
        <w:rPr>
          <w:bCs/>
        </w:rPr>
        <w:t xml:space="preserve">каче</w:t>
      </w:r>
      <w:r>
        <w:rPr>
          <w:bCs/>
        </w:rPr>
        <w:t xml:space="preserve">ство</w:t>
      </w:r>
      <w:r>
        <w:t xml:space="preserve">.</w:t>
      </w:r>
      <w:r/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t xml:space="preserve">- </w:t>
      </w:r>
      <w:r>
        <w:t xml:space="preserve">Подрядчик должен согласовать с Заказчиком тип и характеристики используемых агрегатов, запасных частей и материалов</w:t>
      </w:r>
      <w:r>
        <w:t xml:space="preserve"> до выполнения работ по их монтажу</w:t>
      </w:r>
      <w:r>
        <w:t xml:space="preserve">.</w:t>
      </w:r>
      <w:r/>
    </w:p>
    <w:p>
      <w:pPr>
        <w:pStyle w:val="710"/>
        <w:ind w:left="426" w:firstLine="425"/>
        <w:jc w:val="left"/>
        <w:keepNext w:val="0"/>
        <w:spacing w:line="240" w:lineRule="auto"/>
        <w:widowControl w:val="off"/>
        <w:tabs>
          <w:tab w:val="left" w:pos="851" w:leader="none"/>
          <w:tab w:val="left" w:pos="1276" w:leader="none"/>
          <w:tab w:val="num" w:pos="1494" w:leader="none"/>
        </w:tabs>
        <w:rPr>
          <w:b/>
          <w:szCs w:val="28"/>
        </w:rPr>
        <w:outlineLvl w:val="0"/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10"/>
        <w:ind w:left="426" w:firstLine="425"/>
        <w:jc w:val="left"/>
        <w:keepNext w:val="0"/>
        <w:spacing w:line="240" w:lineRule="auto"/>
        <w:widowControl w:val="off"/>
        <w:tabs>
          <w:tab w:val="left" w:pos="851" w:leader="none"/>
          <w:tab w:val="left" w:pos="1276" w:leader="none"/>
          <w:tab w:val="num" w:pos="1494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2.</w:t>
      </w:r>
      <w:r>
        <w:rPr>
          <w:b/>
          <w:szCs w:val="28"/>
        </w:rPr>
        <w:t xml:space="preserve">Требования к выполнению работ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2.1. </w:t>
      </w:r>
      <w:r>
        <w:rPr>
          <w:szCs w:val="20"/>
        </w:rPr>
        <w:t xml:space="preserve">Работы по </w:t>
      </w:r>
      <w:r>
        <w:rPr>
          <w:szCs w:val="20"/>
        </w:rPr>
        <w:t xml:space="preserve">ремонту и </w:t>
      </w:r>
      <w:r>
        <w:rPr>
          <w:szCs w:val="20"/>
        </w:rPr>
        <w:t xml:space="preserve">обслуживанию автотранспортных средств</w:t>
      </w:r>
      <w:r>
        <w:rPr>
          <w:szCs w:val="20"/>
        </w:rPr>
        <w:t xml:space="preserve"> должны проводит</w:t>
      </w:r>
      <w:r>
        <w:rPr>
          <w:szCs w:val="20"/>
        </w:rPr>
        <w:t xml:space="preserve">ь</w:t>
      </w:r>
      <w:r>
        <w:rPr>
          <w:szCs w:val="20"/>
        </w:rPr>
        <w:t xml:space="preserve">ся на основании заявки</w:t>
      </w:r>
      <w:r>
        <w:rPr>
          <w:szCs w:val="20"/>
        </w:rPr>
        <w:t xml:space="preserve">,</w:t>
      </w:r>
      <w:r>
        <w:rPr>
          <w:szCs w:val="20"/>
        </w:rPr>
        <w:t xml:space="preserve"> составленной уполномоченным представителем Заказчика</w:t>
      </w:r>
      <w:r>
        <w:rPr>
          <w:szCs w:val="20"/>
        </w:rPr>
        <w:t xml:space="preserve">,</w:t>
      </w:r>
      <w:r>
        <w:rPr>
          <w:szCs w:val="20"/>
        </w:rPr>
        <w:t xml:space="preserve"> и должны соответствовать технологическим картам завода изготовителя на конкретную модель (тип) техники. 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2.2. Предельная стоимость и виды</w:t>
      </w:r>
      <w:r>
        <w:rPr>
          <w:szCs w:val="20"/>
        </w:rPr>
        <w:t xml:space="preserve"> выполняемых работ приведены </w:t>
      </w:r>
      <w:r>
        <w:rPr>
          <w:szCs w:val="20"/>
        </w:rPr>
        <w:t xml:space="preserve">в приложен</w:t>
      </w:r>
      <w:r>
        <w:rPr>
          <w:szCs w:val="20"/>
        </w:rPr>
        <w:t xml:space="preserve">и</w:t>
      </w:r>
      <w:r>
        <w:rPr>
          <w:szCs w:val="20"/>
        </w:rPr>
        <w:t xml:space="preserve">и</w:t>
      </w:r>
      <w:r>
        <w:rPr>
          <w:szCs w:val="20"/>
        </w:rPr>
        <w:t xml:space="preserve"> №</w:t>
      </w:r>
      <w:r>
        <w:rPr>
          <w:szCs w:val="20"/>
        </w:rPr>
        <w:t xml:space="preserve"> 1</w:t>
      </w:r>
      <w:r>
        <w:rPr>
          <w:szCs w:val="20"/>
        </w:rPr>
        <w:t xml:space="preserve"> к Техническому заданию</w:t>
      </w:r>
      <w:r>
        <w:rPr>
          <w:szCs w:val="20"/>
        </w:rPr>
        <w:t xml:space="preserve">.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  <w:tab w:val="left" w:pos="1418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2.3. </w:t>
      </w:r>
      <w:r>
        <w:rPr>
          <w:szCs w:val="20"/>
        </w:rPr>
        <w:t xml:space="preserve">Список транспортных средств для ремонта приведен в приложении №</w:t>
      </w:r>
      <w:r>
        <w:rPr>
          <w:szCs w:val="20"/>
        </w:rPr>
        <w:t xml:space="preserve"> 2</w:t>
      </w:r>
      <w:r>
        <w:rPr>
          <w:szCs w:val="20"/>
        </w:rPr>
        <w:t xml:space="preserve"> к Техническому заданию</w:t>
      </w:r>
      <w:r>
        <w:rPr>
          <w:szCs w:val="20"/>
        </w:rPr>
        <w:t xml:space="preserve">.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  <w:tab w:val="left" w:pos="1418" w:leader="none"/>
        </w:tabs>
        <w:rPr>
          <w:i/>
        </w:rPr>
      </w:pPr>
      <w:r>
        <w:rPr>
          <w:szCs w:val="20"/>
        </w:rPr>
        <w:tab/>
      </w:r>
      <w:r>
        <w:rPr>
          <w:szCs w:val="20"/>
        </w:rPr>
        <w:t xml:space="preserve">2.4. Нормы времени на все выполняемые операции по ремонту и обслуживанию транспортных средств, не должны превышать значения норм времени в программе Автодилер (</w:t>
      </w:r>
      <w:r>
        <w:fldChar w:fldCharType="begin"/>
      </w:r>
      <w:r>
        <w:instrText xml:space="preserve"> HYPERLINK "</w:instrText>
      </w:r>
      <w:r>
        <w:instrText xml:space="preserve">http://www.autodealer.ru/soft</w:instrText>
      </w:r>
      <w:r>
        <w:instrText xml:space="preserve">" </w:instrText>
      </w:r>
      <w:r>
        <w:fldChar w:fldCharType="separate"/>
      </w:r>
      <w:r>
        <w:rPr>
          <w:rStyle w:val="755"/>
        </w:rPr>
        <w:t xml:space="preserve">http://www.autodealer.ru/soft</w:t>
      </w:r>
      <w:r>
        <w:fldChar w:fldCharType="end"/>
      </w:r>
      <w:r>
        <w:t xml:space="preserve">)</w:t>
      </w:r>
      <w:r>
        <w:t xml:space="preserve">. </w:t>
      </w:r>
      <w:r>
        <w:rPr>
          <w:i/>
        </w:rPr>
      </w:r>
      <w:r>
        <w:rPr>
          <w:i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2.5. </w:t>
      </w:r>
      <w:r>
        <w:rPr>
          <w:szCs w:val="20"/>
        </w:rPr>
        <w:t xml:space="preserve">Стоимость запасных частей не должна превышать рыночную стоимость у </w:t>
      </w:r>
      <w:r>
        <w:rPr>
          <w:szCs w:val="20"/>
        </w:rPr>
        <w:t xml:space="preserve">региональных </w:t>
      </w:r>
      <w:r>
        <w:rPr>
          <w:szCs w:val="20"/>
        </w:rPr>
        <w:t xml:space="preserve">представителей заводов изготовителей </w:t>
      </w:r>
      <w:r>
        <w:rPr>
          <w:szCs w:val="20"/>
        </w:rPr>
        <w:t xml:space="preserve">в регионе присутствия </w:t>
      </w:r>
      <w:r>
        <w:rPr>
          <w:szCs w:val="20"/>
        </w:rPr>
        <w:t xml:space="preserve">АО «</w:t>
      </w:r>
      <w:r>
        <w:rPr>
          <w:szCs w:val="20"/>
        </w:rPr>
        <w:t xml:space="preserve">Россети Сибирь </w:t>
      </w:r>
      <w:r>
        <w:rPr>
          <w:szCs w:val="20"/>
        </w:rPr>
        <w:t xml:space="preserve">Тываэнерго»</w:t>
      </w:r>
      <w:r>
        <w:rPr>
          <w:szCs w:val="20"/>
        </w:rPr>
        <w:t xml:space="preserve">, на момент </w:t>
      </w:r>
      <w:r>
        <w:rPr>
          <w:szCs w:val="20"/>
        </w:rPr>
        <w:t xml:space="preserve">обслуживания</w:t>
      </w:r>
      <w:r>
        <w:rPr>
          <w:szCs w:val="20"/>
        </w:rPr>
        <w:t xml:space="preserve"> автомобиля.</w:t>
      </w:r>
      <w:r>
        <w:rPr>
          <w:szCs w:val="20"/>
        </w:rPr>
        <w:t xml:space="preserve"> </w:t>
      </w:r>
      <w:r>
        <w:rPr>
          <w:szCs w:val="20"/>
        </w:rPr>
        <w:t xml:space="preserve">При отсутствии региональных  представителей заводов изготовителей стоимость запасных частей не должна превышать среднерыночную стоимость, определяемую по запросам 3-м поставщикам в регионе присутствия </w:t>
      </w:r>
      <w:r>
        <w:rPr>
          <w:szCs w:val="20"/>
        </w:rPr>
        <w:t xml:space="preserve">АО «</w:t>
      </w:r>
      <w:r>
        <w:rPr>
          <w:szCs w:val="20"/>
        </w:rPr>
        <w:t xml:space="preserve">Россети Сибирь </w:t>
      </w:r>
      <w:r>
        <w:rPr>
          <w:szCs w:val="20"/>
        </w:rPr>
        <w:t xml:space="preserve">Тываэнерго»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tab/>
      </w:r>
      <w:r>
        <w:t xml:space="preserve">2.6. Привлечение для вы</w:t>
      </w:r>
      <w:r>
        <w:t xml:space="preserve">полнения работ субподрядных организаций должно производиться с письменного согласования Заказчика.</w:t>
      </w:r>
      <w:r/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</w:pPr>
      <w:r>
        <w:tab/>
      </w:r>
      <w:r>
        <w:t xml:space="preserve">2.7. Подрядчик несет ответственность за ненадлежащее качество работ выполненных  как им самим, так и привлекаемыми им субподрядными организациями в течение гарантийного срока.</w:t>
      </w:r>
      <w:r/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709" w:leader="none"/>
          <w:tab w:val="left" w:pos="851" w:leader="none"/>
          <w:tab w:val="left" w:pos="1276" w:leader="none"/>
        </w:tabs>
        <w:rPr>
          <w:szCs w:val="20"/>
        </w:rPr>
      </w:pPr>
      <w:r>
        <w:tab/>
      </w:r>
      <w:r>
        <w:t xml:space="preserve">2.8. Срок гарантийных обязательств Подрядчика по выполненным работам не менее </w:t>
      </w:r>
      <w:r>
        <w:t xml:space="preserve">3</w:t>
      </w:r>
      <w:r>
        <w:t xml:space="preserve"> месяцев. 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num" w:pos="709" w:leader="none"/>
          <w:tab w:val="left" w:pos="851" w:leader="none"/>
          <w:tab w:val="left" w:pos="1276" w:leader="none"/>
        </w:tabs>
        <w:rPr>
          <w:szCs w:val="20"/>
        </w:rPr>
      </w:pPr>
      <w:r>
        <w:tab/>
      </w:r>
      <w:r>
        <w:t xml:space="preserve">2.9. Оплата выполненных работ производится в соответствии с услови</w:t>
      </w:r>
      <w:r>
        <w:t xml:space="preserve">ями Договора на основании Счета-фактуры, Актов приёмки выполненных работ и Заказ-наряда (с указанием перечня выполненных работ, номенклатуры количества и стоимости использованных запасных частей и материалов), при условии соблюдения требований п.2.5.и 2.4.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  <w:rPr>
          <w:b/>
          <w:szCs w:val="28"/>
        </w:rPr>
        <w:outlineLvl w:val="0"/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710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3. Требования к участникам</w:t>
      </w:r>
      <w:r>
        <w:rPr>
          <w:b/>
          <w:szCs w:val="28"/>
        </w:rPr>
      </w:r>
    </w:p>
    <w:p>
      <w:pPr>
        <w:pStyle w:val="777"/>
        <w:ind w:left="426" w:firstLine="425"/>
        <w:spacing w:after="0" w:line="0" w:lineRule="atLeast"/>
        <w:tabs>
          <w:tab w:val="num" w:pos="426" w:leader="none"/>
          <w:tab w:val="left" w:pos="851" w:leader="none"/>
          <w:tab w:val="left" w:pos="1276" w:leader="none"/>
        </w:tabs>
      </w:pPr>
      <w:r>
        <w:tab/>
      </w:r>
      <w:r>
        <w:t xml:space="preserve">3.1. Наличие сертификата соответствия, выданного федеральным органом по техническому регулированию и сертификации</w:t>
      </w:r>
      <w:r>
        <w:t xml:space="preserve"> (коды 017100, 017200).</w:t>
      </w:r>
      <w:r/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i/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3.2. </w:t>
      </w:r>
      <w:r>
        <w:rPr>
          <w:szCs w:val="20"/>
        </w:rPr>
        <w:t xml:space="preserve">Наличие необходимого инструмента, приспособлений, приборов, оборудования</w:t>
      </w:r>
      <w:r>
        <w:rPr>
          <w:szCs w:val="20"/>
        </w:rPr>
        <w:t xml:space="preserve"> помещений</w:t>
      </w:r>
      <w:r>
        <w:rPr>
          <w:szCs w:val="20"/>
        </w:rPr>
        <w:t xml:space="preserve"> и механизмов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</w:t>
      </w:r>
      <w:r>
        <w:rPr>
          <w:szCs w:val="20"/>
        </w:rPr>
        <w:t xml:space="preserve">ендациями заводов изготовителей: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</w:t>
      </w:r>
      <w:r>
        <w:rPr>
          <w:szCs w:val="20"/>
        </w:rPr>
        <w:t xml:space="preserve">Тормозной стенд для легковых и грузовых автомобилей -1;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Стенд для проточки тормозных дисков -1;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</w:t>
      </w:r>
      <w:r>
        <w:rPr>
          <w:szCs w:val="20"/>
        </w:rPr>
        <w:t xml:space="preserve">Подъёмник</w:t>
      </w:r>
      <w:r>
        <w:rPr>
          <w:szCs w:val="20"/>
        </w:rPr>
        <w:t xml:space="preserve"> автомобильный двухстоечный электрогидравлический с верхней синхронизацией, с механическими стопорами (4000 кг) – </w:t>
      </w:r>
      <w:r>
        <w:rPr>
          <w:szCs w:val="20"/>
        </w:rPr>
        <w:t xml:space="preserve">2</w:t>
      </w:r>
      <w:r>
        <w:rPr>
          <w:szCs w:val="20"/>
        </w:rPr>
        <w:t xml:space="preserve">;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Шиномонтажный стенд (максимальный диаметр колеса 1040 мм – 1;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Компьютерный стенд сход-развал для проверки и регулировки углов установки колес легковых автомобилей с диаметром обода от 12 до 24 дюймов - 1.</w:t>
      </w:r>
      <w:r>
        <w:rPr>
          <w:szCs w:val="20"/>
        </w:rPr>
        <w:t xml:space="preserve">;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  <w:t xml:space="preserve">3.3. </w:t>
      </w:r>
      <w:r>
        <w:rPr>
          <w:szCs w:val="20"/>
        </w:rPr>
        <w:t xml:space="preserve">Наличие </w:t>
      </w:r>
      <w:r>
        <w:rPr>
          <w:szCs w:val="20"/>
        </w:rPr>
        <w:t xml:space="preserve">квалифицированного персонала с предоставлением подтверждающих </w:t>
      </w:r>
      <w:r>
        <w:rPr>
          <w:szCs w:val="20"/>
        </w:rPr>
        <w:t xml:space="preserve">документов</w:t>
      </w:r>
      <w:r>
        <w:rPr>
          <w:szCs w:val="20"/>
        </w:rPr>
        <w:t xml:space="preserve"> (удостоверения, дипломы, свидетельства о повышении квалификации и т.д.)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моторист – </w:t>
      </w:r>
      <w:r>
        <w:rPr>
          <w:szCs w:val="20"/>
        </w:rPr>
        <w:t xml:space="preserve">1</w:t>
      </w:r>
      <w:r>
        <w:rPr>
          <w:szCs w:val="20"/>
        </w:rPr>
        <w:t xml:space="preserve">;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агрегатчик – </w:t>
      </w:r>
      <w:r>
        <w:rPr>
          <w:szCs w:val="20"/>
        </w:rPr>
        <w:t xml:space="preserve">1</w:t>
      </w:r>
      <w:r>
        <w:rPr>
          <w:szCs w:val="20"/>
        </w:rPr>
        <w:t xml:space="preserve">;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автоэлектрик – 1;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автожестянщик – 1;</w:t>
      </w:r>
      <w:r>
        <w:rPr>
          <w:szCs w:val="20"/>
        </w:rPr>
      </w:r>
    </w:p>
    <w:p>
      <w:pPr>
        <w:pStyle w:val="710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3.</w:t>
      </w:r>
      <w:r>
        <w:rPr>
          <w:szCs w:val="20"/>
        </w:rPr>
        <w:t xml:space="preserve">4</w:t>
      </w:r>
      <w:r>
        <w:rPr>
          <w:szCs w:val="20"/>
        </w:rPr>
        <w:t xml:space="preserve">. </w:t>
      </w:r>
      <w:r>
        <w:rPr>
          <w:szCs w:val="20"/>
        </w:rPr>
        <w:t xml:space="preserve">Участник в составе заявки должен приложить (в свободной форме)</w:t>
      </w:r>
      <w:r>
        <w:rPr>
          <w:szCs w:val="20"/>
        </w:rPr>
        <w:t xml:space="preserve"> список и фактические адреса мастерских в</w:t>
      </w:r>
      <w:r>
        <w:rPr>
          <w:szCs w:val="20"/>
        </w:rPr>
        <w:t xml:space="preserve"> которы</w:t>
      </w:r>
      <w:r>
        <w:rPr>
          <w:szCs w:val="20"/>
        </w:rPr>
        <w:t xml:space="preserve">х будет производиться ремонт и обслуживание автомобилей,</w:t>
      </w:r>
      <w:r>
        <w:rPr>
          <w:szCs w:val="20"/>
        </w:rPr>
        <w:t xml:space="preserve"> в рамках заключаемого по итогам закупки договора, с приложением документов, подтверждающих право собственност</w:t>
      </w:r>
      <w:r>
        <w:rPr>
          <w:szCs w:val="20"/>
        </w:rPr>
        <w:t xml:space="preserve">и (пользования)</w:t>
      </w:r>
      <w:r>
        <w:rPr>
          <w:szCs w:val="20"/>
        </w:rPr>
        <w:t xml:space="preserve">.</w:t>
      </w:r>
      <w:r>
        <w:rPr>
          <w:szCs w:val="20"/>
        </w:rPr>
      </w:r>
      <w:r>
        <w:rPr>
          <w:szCs w:val="20"/>
        </w:rPr>
      </w:r>
    </w:p>
    <w:p>
      <w:pPr>
        <w:pStyle w:val="710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pStyle w:val="710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br w:type="page" w:clear="all"/>
      </w:r>
      <w:r>
        <w:t xml:space="preserve">Приложение № 1</w:t>
      </w:r>
      <w:r>
        <w:t xml:space="preserve"> </w:t>
      </w:r>
      <w:r/>
    </w:p>
    <w:p>
      <w:pPr>
        <w:pStyle w:val="710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к Техническому заданию</w:t>
      </w:r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8"/>
        <w:gridCol w:w="3950"/>
        <w:gridCol w:w="2416"/>
        <w:gridCol w:w="2820"/>
      </w:tblGrid>
      <w:tr>
        <w:tblPrEx/>
        <w:trPr>
          <w:trHeight w:val="54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323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spacing w:line="240" w:lineRule="auto"/>
            </w:pPr>
            <w:r>
              <w:t xml:space="preserve">№ лота</w:t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spacing w:line="240" w:lineRule="auto"/>
            </w:pPr>
            <w:r>
              <w:t xml:space="preserve">Вид работ</w:t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jc w:val="center"/>
              <w:spacing w:line="240" w:lineRule="auto"/>
            </w:pPr>
            <w:r>
              <w:t xml:space="preserve">Планируемая (предельная) цена, руб., без НДС</w:t>
            </w:r>
            <w:r/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6" w:type="pct"/>
            <w:vAlign w:val="top"/>
            <w:textDirection w:val="lrTb"/>
            <w:noWrap w:val="false"/>
          </w:tcPr>
          <w:p>
            <w:pPr>
              <w:pStyle w:val="710"/>
              <w:ind w:right="-143" w:firstLine="0"/>
              <w:jc w:val="center"/>
              <w:spacing w:line="240" w:lineRule="auto"/>
            </w:pPr>
            <w:r>
              <w:t xml:space="preserve">Предельн</w:t>
            </w:r>
            <w:r>
              <w:t xml:space="preserve">ая стоимость нормо-часа, руб., без</w:t>
            </w:r>
            <w:r>
              <w:t xml:space="preserve"> НДС</w:t>
            </w:r>
            <w:r/>
          </w:p>
        </w:tc>
      </w:tr>
      <w:tr>
        <w:tblPrEx/>
        <w:trPr>
          <w:trHeight w:val="4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spacing w:line="240" w:lineRule="auto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01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spacing w:line="240" w:lineRule="auto"/>
            </w:pPr>
            <w:r>
              <w:t xml:space="preserve">Ремонт</w:t>
            </w:r>
            <w:r>
              <w:t xml:space="preserve"> автомобилей </w:t>
            </w:r>
            <w:r>
              <w:t xml:space="preserve">марки ВАЗ, ГАЗ, ПАЗ, УАЗ, </w:t>
            </w:r>
            <w:r>
              <w:rPr>
                <w:lang w:val="en-US"/>
              </w:rPr>
              <w:t xml:space="preserve">Toyota</w:t>
            </w:r>
            <w:r>
              <w:t xml:space="preserve"> </w:t>
            </w:r>
            <w:r>
              <w:rPr>
                <w:lang w:val="en-US"/>
              </w:rPr>
              <w:t xml:space="preserve">Land</w:t>
            </w:r>
            <w:r>
              <w:t xml:space="preserve"> </w:t>
            </w:r>
            <w:r>
              <w:rPr>
                <w:lang w:val="en-US"/>
              </w:rPr>
              <w:t xml:space="preserve">Cruiser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spacing w:line="240" w:lineRule="auto"/>
              <w:rPr>
                <w:lang w:val="en-US"/>
              </w:rPr>
            </w:pPr>
            <w:r>
              <w:t xml:space="preserve">529 500,00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6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spacing w:line="240" w:lineRule="auto"/>
            </w:pPr>
            <w:r>
              <w:t xml:space="preserve">25</w:t>
            </w:r>
            <w:r>
              <w:t xml:space="preserve">00,00</w:t>
            </w:r>
            <w:r/>
          </w:p>
        </w:tc>
      </w:tr>
    </w:tbl>
    <w:p>
      <w:pPr>
        <w:pStyle w:val="765"/>
        <w:ind w:left="142"/>
        <w:jc w:val="right"/>
      </w:pPr>
      <w:r/>
      <w:r/>
    </w:p>
    <w:p>
      <w:pPr>
        <w:pStyle w:val="710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Приложение № 2</w:t>
      </w:r>
      <w:r>
        <w:t xml:space="preserve"> </w:t>
      </w:r>
      <w:r/>
    </w:p>
    <w:p>
      <w:pPr>
        <w:pStyle w:val="710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к Техническому заданию</w:t>
      </w:r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4"/>
        <w:gridCol w:w="3242"/>
        <w:gridCol w:w="3037"/>
        <w:gridCol w:w="28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0"/>
        </w:trPr>
        <w:tc>
          <w:tcPr>
            <w:tcW w:w="347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Марка ТС</w:t>
            </w:r>
            <w:r>
              <w:rPr>
                <w:sz w:val="22"/>
                <w:szCs w:val="22"/>
              </w:rPr>
            </w:r>
          </w:p>
        </w:tc>
        <w:tc>
          <w:tcPr>
            <w:tcW w:w="1541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выпуска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68" w:type="pct"/>
            <w:vAlign w:val="center"/>
            <w:textDirection w:val="lrTb"/>
            <w:noWrap w:val="false"/>
          </w:tcPr>
          <w:p>
            <w:pPr>
              <w:pStyle w:val="710"/>
              <w:ind w:right="-143"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</w:t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ГАЗ - 31105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2007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</w:t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ГАЗ - 31102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2007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УАЗ -</w:t>
            </w:r>
            <w:r>
              <w:t xml:space="preserve"> Патриот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2013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УАЗ - Патриот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2012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УАЗ - Патриот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2013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Toyota Land Cruiser</w:t>
            </w:r>
            <w:r>
              <w:t xml:space="preserve"> </w:t>
            </w:r>
            <w:r>
              <w:t xml:space="preserve">PRADO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2017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УАЗ - Патриот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2015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ГАЗ - 22177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2015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Лада нива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2016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Лада </w:t>
            </w:r>
            <w:r>
              <w:t xml:space="preserve"> </w:t>
            </w:r>
            <w:r>
              <w:t xml:space="preserve">Приора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2016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Лада </w:t>
            </w:r>
            <w:r>
              <w:t xml:space="preserve">Веста 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2021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Лада </w:t>
            </w:r>
            <w:r>
              <w:t xml:space="preserve">Веста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2021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Лада Нива Легенд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2021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7" w:type="pct"/>
            <w:vAlign w:val="center"/>
            <w:textDirection w:val="lrTb"/>
            <w:noWrap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</w:t>
            </w:r>
            <w:r>
              <w:rPr>
                <w:sz w:val="20"/>
                <w:szCs w:val="20"/>
              </w:rPr>
            </w:r>
          </w:p>
        </w:tc>
        <w:tc>
          <w:tcPr>
            <w:tcW w:w="1645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left"/>
            </w:pPr>
            <w:r>
              <w:t xml:space="preserve">УАЗ - 220695</w:t>
            </w:r>
            <w:r/>
          </w:p>
        </w:tc>
        <w:tc>
          <w:tcPr>
            <w:tcW w:w="1541" w:type="pct"/>
            <w:vAlign w:val="bottom"/>
            <w:textDirection w:val="lrTb"/>
            <w:noWrap w:val="false"/>
          </w:tcPr>
          <w:p>
            <w:pPr>
              <w:pStyle w:val="710"/>
              <w:ind w:firstLine="0"/>
              <w:jc w:val="center"/>
            </w:pPr>
            <w:r>
              <w:t xml:space="preserve">2011</w:t>
            </w:r>
            <w:r/>
          </w:p>
        </w:tc>
        <w:tc>
          <w:tcPr>
            <w:tcW w:w="1468" w:type="pct"/>
            <w:vAlign w:val="bottom"/>
            <w:textDirection w:val="lrTb"/>
            <w:noWrap w:val="false"/>
          </w:tcPr>
          <w:p>
            <w:pPr>
              <w:pStyle w:val="710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765"/>
        <w:ind w:left="142"/>
        <w:jc w:val="right"/>
      </w:pPr>
      <w:r/>
      <w:r/>
    </w:p>
    <w:p>
      <w:pPr>
        <w:pStyle w:val="765"/>
        <w:ind w:left="142"/>
        <w:jc w:val="right"/>
      </w:pPr>
      <w:r/>
      <w:r/>
    </w:p>
    <w:p>
      <w:pPr>
        <w:pStyle w:val="710"/>
        <w:ind w:left="33" w:hanging="133"/>
        <w:jc w:val="right"/>
        <w:spacing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796"/>
        <w:gridCol w:w="5264"/>
        <w:gridCol w:w="1163"/>
        <w:gridCol w:w="20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№ п/п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Дата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Должность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Подпись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ФИО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0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</w:t>
            </w:r>
            <w:r>
              <w:rPr>
                <w:rFonts w:eastAsia="Calibri"/>
                <w:lang w:eastAsia="en-US"/>
              </w:rPr>
              <w:t xml:space="preserve">лавный эксперт управления эксплуатации электрических сетей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В.В. Нестратенко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0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В.В. Князев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0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</w:t>
            </w:r>
            <w:r>
              <w:rPr>
                <w:rFonts w:eastAsia="Calibri"/>
                <w:lang w:eastAsia="en-US"/>
              </w:rPr>
              <w:t xml:space="preserve">ачальник отдела логистики и МТО</w:t>
              <w:tab/>
              <w:tab/>
              <w:t xml:space="preserve">Власов Владимир Витальевич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В.В. Власов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0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отдела управления делами ПО «Тываэнергосбыт»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pStyle w:val="710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pct"/>
            <w:vAlign w:val="top"/>
            <w:textDirection w:val="lrTb"/>
            <w:noWrap w:val="false"/>
          </w:tcPr>
          <w:p>
            <w:pPr>
              <w:pStyle w:val="710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Е.А. Фирсова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pStyle w:val="710"/>
        <w:ind w:firstLine="0"/>
        <w:keepNext w:val="0"/>
        <w:widowControl w:val="off"/>
      </w:pPr>
      <w:r/>
      <w:r/>
    </w:p>
    <w:p>
      <w:pPr>
        <w:pStyle w:val="710"/>
        <w:ind w:firstLine="0"/>
        <w:jc w:val="left"/>
        <w:keepNext w:val="0"/>
        <w:spacing w:line="240" w:lineRule="auto"/>
      </w:pPr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993" w:right="113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775"/>
      </w:rPr>
      <w:framePr w:wrap="around" w:vAnchor="text" w:hAnchor="margin" w:xAlign="right" w:y="1"/>
    </w:pPr>
    <w:r>
      <w:rPr>
        <w:rStyle w:val="775"/>
      </w:rPr>
      <w:fldChar w:fldCharType="begin"/>
    </w:r>
    <w:r>
      <w:rPr>
        <w:rStyle w:val="775"/>
      </w:rPr>
      <w:instrText xml:space="preserve">PAGE  </w:instrText>
    </w:r>
    <w:r>
      <w:rPr>
        <w:rStyle w:val="775"/>
      </w:rPr>
      <w:fldChar w:fldCharType="separate"/>
    </w:r>
    <w:r>
      <w:rPr>
        <w:rStyle w:val="775"/>
      </w:rPr>
      <w:t xml:space="preserve">3</w:t>
    </w:r>
    <w:r>
      <w:rPr>
        <w:rStyle w:val="775"/>
      </w:rPr>
      <w:fldChar w:fldCharType="end"/>
    </w:r>
    <w:r>
      <w:rPr>
        <w:rStyle w:val="775"/>
      </w:rPr>
    </w:r>
    <w:r>
      <w:rPr>
        <w:rStyle w:val="775"/>
      </w:rPr>
    </w:r>
  </w:p>
  <w:p>
    <w:pPr>
      <w:pStyle w:val="758"/>
      <w:ind w:right="360"/>
      <w:jc w:val="right"/>
    </w:pPr>
    <w:r/>
    <w:r/>
  </w:p>
  <w:p>
    <w:pPr>
      <w:pStyle w:val="710"/>
      <w:ind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775"/>
      </w:rPr>
      <w:framePr w:wrap="around" w:vAnchor="text" w:hAnchor="margin" w:xAlign="right" w:y="1"/>
    </w:pPr>
    <w:r>
      <w:rPr>
        <w:rStyle w:val="775"/>
      </w:rPr>
      <w:fldChar w:fldCharType="begin"/>
    </w:r>
    <w:r>
      <w:rPr>
        <w:rStyle w:val="775"/>
      </w:rPr>
      <w:instrText xml:space="preserve">PAGE  </w:instrText>
    </w:r>
    <w:r>
      <w:rPr>
        <w:rStyle w:val="775"/>
      </w:rPr>
      <w:fldChar w:fldCharType="end"/>
    </w:r>
    <w:r>
      <w:rPr>
        <w:rStyle w:val="775"/>
      </w:rPr>
    </w:r>
    <w:r>
      <w:rPr>
        <w:rStyle w:val="775"/>
      </w:rPr>
    </w:r>
  </w:p>
  <w:p>
    <w:pPr>
      <w:pStyle w:val="75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4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727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7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8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7" w:hanging="180"/>
      </w:pPr>
    </w:lvl>
  </w:abstractNum>
  <w:abstractNum w:abstractNumId="5">
    <w:multiLevelType w:val="hybridMultilevel"/>
    <w:lvl w:ilvl="0">
      <w:start w:val="1"/>
      <w:numFmt w:val="decimal"/>
      <w:pStyle w:val="717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720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772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thaiNumbers"/>
      <w:pStyle w:val="729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1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713"/>
      <w:isLgl w:val="false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57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756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71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1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b/>
        <w:i w:val="0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0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567" w:hanging="567"/>
        <w:tabs>
          <w:tab w:val="num" w:pos="567" w:leader="none"/>
        </w:tabs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</w:lvl>
    <w:lvl w:ilvl="1">
      <w:start w:val="1"/>
      <w:numFmt w:val="decimal"/>
      <w:isLgl w:val="false"/>
      <w:suff w:val="tab"/>
      <w:lvlText w:val="%2"/>
      <w:lvlJc w:val="left"/>
      <w:pPr>
        <w:ind w:left="2717" w:hanging="360"/>
        <w:tabs>
          <w:tab w:val="num" w:pos="2717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3617" w:hanging="360"/>
        <w:tabs>
          <w:tab w:val="num" w:pos="361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pStyle w:val="747"/>
      <w:isLgl w:val="false"/>
      <w:suff w:val="tab"/>
      <w:lvlText w:val="3.5.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25"/>
  </w:num>
  <w:num w:numId="5">
    <w:abstractNumId w:val="5"/>
  </w:num>
  <w:num w:numId="6">
    <w:abstractNumId w:val="1"/>
  </w:num>
  <w:num w:numId="7">
    <w:abstractNumId w:val="9"/>
  </w:num>
  <w:num w:numId="8">
    <w:abstractNumId w:val="19"/>
  </w:num>
  <w:num w:numId="9">
    <w:abstractNumId w:val="11"/>
  </w:num>
  <w:num w:numId="10">
    <w:abstractNumId w:val="6"/>
  </w:num>
  <w:num w:numId="11">
    <w:abstractNumId w:val="22"/>
  </w:num>
  <w:num w:numId="12">
    <w:abstractNumId w:val="13"/>
  </w:num>
  <w:num w:numId="13">
    <w:abstractNumId w:val="23"/>
  </w:num>
  <w:num w:numId="14">
    <w:abstractNumId w:val="10"/>
  </w:num>
  <w:num w:numId="15">
    <w:abstractNumId w:val="14"/>
  </w:num>
  <w:num w:numId="16">
    <w:abstractNumId w:val="18"/>
  </w:num>
  <w:num w:numId="17">
    <w:abstractNumId w:val="17"/>
  </w:num>
  <w:num w:numId="18">
    <w:abstractNumId w:val="8"/>
  </w:num>
  <w:num w:numId="19">
    <w:abstractNumId w:val="16"/>
  </w:num>
  <w:num w:numId="20">
    <w:abstractNumId w:val="21"/>
  </w:num>
  <w:num w:numId="21">
    <w:abstractNumId w:val="3"/>
  </w:num>
  <w:num w:numId="22">
    <w:abstractNumId w:val="2"/>
  </w:num>
  <w:num w:numId="23">
    <w:abstractNumId w:val="24"/>
  </w:num>
  <w:num w:numId="24">
    <w:abstractNumId w:val="4"/>
  </w:num>
  <w:num w:numId="25">
    <w:abstractNumId w:val="20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10"/>
    <w:next w:val="7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10"/>
    <w:next w:val="7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0"/>
    <w:next w:val="7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0"/>
    <w:next w:val="7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0"/>
    <w:next w:val="7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0"/>
    <w:next w:val="7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0"/>
    <w:next w:val="7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0"/>
    <w:next w:val="7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0"/>
    <w:next w:val="7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10"/>
    <w:next w:val="7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10"/>
    <w:next w:val="7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10"/>
    <w:next w:val="7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0"/>
    <w:next w:val="7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10"/>
    <w:next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10"/>
    <w:next w:val="7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0"/>
    <w:next w:val="7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0"/>
    <w:next w:val="7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0"/>
    <w:next w:val="7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0"/>
    <w:next w:val="7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0"/>
    <w:next w:val="7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0"/>
    <w:next w:val="7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0"/>
    <w:next w:val="7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0"/>
    <w:next w:val="7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0"/>
    <w:next w:val="710"/>
    <w:uiPriority w:val="99"/>
    <w:unhideWhenUsed/>
    <w:pPr>
      <w:spacing w:after="0" w:afterAutospacing="0"/>
    </w:pPr>
  </w:style>
  <w:style w:type="paragraph" w:styleId="710" w:default="1">
    <w:name w:val="Normal"/>
    <w:next w:val="710"/>
    <w:link w:val="710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711">
    <w:name w:val="Заголовок 1"/>
    <w:basedOn w:val="710"/>
    <w:next w:val="710"/>
    <w:link w:val="717"/>
    <w:qFormat/>
    <w:pPr>
      <w:numPr>
        <w:ilvl w:val="0"/>
        <w:numId w:val="8"/>
      </w:numPr>
      <w:keepLines/>
      <w:spacing w:before="48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712">
    <w:name w:val="Заголовок 2"/>
    <w:basedOn w:val="710"/>
    <w:next w:val="710"/>
    <w:link w:val="718"/>
    <w:qFormat/>
    <w:pPr>
      <w:numPr>
        <w:ilvl w:val="1"/>
        <w:numId w:val="8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713">
    <w:name w:val="Заголовок 3"/>
    <w:basedOn w:val="710"/>
    <w:next w:val="710"/>
    <w:link w:val="719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character" w:styleId="714">
    <w:name w:val="Основной шрифт абзаца"/>
    <w:next w:val="714"/>
    <w:link w:val="710"/>
    <w:uiPriority w:val="1"/>
    <w:unhideWhenUsed/>
  </w:style>
  <w:style w:type="table" w:styleId="715">
    <w:name w:val="Обычная таблица"/>
    <w:next w:val="715"/>
    <w:link w:val="710"/>
    <w:uiPriority w:val="99"/>
    <w:semiHidden/>
    <w:unhideWhenUsed/>
    <w:qFormat/>
    <w:tblPr/>
  </w:style>
  <w:style w:type="numbering" w:styleId="716">
    <w:name w:val="Нет списка"/>
    <w:next w:val="716"/>
    <w:link w:val="710"/>
    <w:uiPriority w:val="99"/>
    <w:semiHidden/>
    <w:unhideWhenUsed/>
  </w:style>
  <w:style w:type="character" w:styleId="717">
    <w:name w:val="Заголовок 1 Знак"/>
    <w:next w:val="717"/>
    <w:link w:val="711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styleId="718">
    <w:name w:val="Заголовок 2 Знак"/>
    <w:next w:val="718"/>
    <w:link w:val="71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719">
    <w:name w:val="Заголовок 3 Знак"/>
    <w:next w:val="719"/>
    <w:link w:val="713"/>
    <w:rPr>
      <w:rFonts w:cs="Arial"/>
      <w:b/>
      <w:bCs/>
      <w:sz w:val="24"/>
      <w:szCs w:val="26"/>
      <w:lang w:val="ru-RU" w:eastAsia="ru-RU" w:bidi="ar-SA"/>
    </w:rPr>
  </w:style>
  <w:style w:type="paragraph" w:styleId="720">
    <w:name w:val="МРСК_заголовок_1"/>
    <w:basedOn w:val="711"/>
    <w:next w:val="720"/>
    <w:link w:val="710"/>
    <w:pPr>
      <w:numPr>
        <w:ilvl w:val="0"/>
        <w:numId w:val="5"/>
      </w:numPr>
      <w:keepLines w:val="0"/>
      <w:spacing w:before="240" w:after="60"/>
      <w:shd w:val="clear" w:color="auto" w:fill="d9d9d9"/>
    </w:pPr>
    <w:rPr>
      <w:rFonts w:ascii="Times New Roman" w:hAnsi="Times New Roman" w:eastAsia="Times New Roman" w:cs="Arial"/>
      <w:caps/>
      <w:color w:val="000000"/>
    </w:rPr>
  </w:style>
  <w:style w:type="paragraph" w:styleId="721">
    <w:name w:val="МРСК_шрифт_абзаца"/>
    <w:basedOn w:val="710"/>
    <w:next w:val="721"/>
    <w:link w:val="722"/>
    <w:pPr>
      <w:contextualSpacing/>
      <w:keepLines/>
      <w:spacing w:before="120" w:after="120"/>
      <w:widowControl w:val="off"/>
      <w:suppressLineNumbers/>
    </w:pPr>
  </w:style>
  <w:style w:type="character" w:styleId="722">
    <w:name w:val="МРСК_шрифт_абзаца Знак"/>
    <w:next w:val="722"/>
    <w:link w:val="72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23">
    <w:name w:val="МРСК_заголовок_2"/>
    <w:basedOn w:val="721"/>
    <w:next w:val="723"/>
    <w:link w:val="710"/>
    <w:pPr>
      <w:numPr>
        <w:ilvl w:val="1"/>
        <w:numId w:val="5"/>
      </w:numPr>
      <w:jc w:val="left"/>
      <w:spacing w:before="240" w:after="60" w:line="240" w:lineRule="auto"/>
    </w:pPr>
    <w:rPr>
      <w:b/>
      <w:caps/>
      <w:sz w:val="26"/>
    </w:rPr>
  </w:style>
  <w:style w:type="paragraph" w:styleId="724">
    <w:name w:val="МРСК_заголовок_большой"/>
    <w:basedOn w:val="710"/>
    <w:next w:val="724"/>
    <w:link w:val="710"/>
    <w:pPr>
      <w:jc w:val="center"/>
      <w:spacing w:line="240" w:lineRule="auto"/>
    </w:pPr>
    <w:rPr>
      <w:b/>
      <w:caps/>
      <w:sz w:val="32"/>
      <w:szCs w:val="32"/>
    </w:rPr>
  </w:style>
  <w:style w:type="paragraph" w:styleId="725">
    <w:name w:val="МРСК_заголовок_малый"/>
    <w:basedOn w:val="710"/>
    <w:next w:val="725"/>
    <w:link w:val="710"/>
    <w:pPr>
      <w:jc w:val="center"/>
      <w:spacing w:line="240" w:lineRule="auto"/>
    </w:pPr>
    <w:rPr>
      <w:b/>
      <w:caps/>
    </w:rPr>
  </w:style>
  <w:style w:type="paragraph" w:styleId="726">
    <w:name w:val="МРСК_заголовок_средний"/>
    <w:basedOn w:val="710"/>
    <w:next w:val="726"/>
    <w:link w:val="710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727">
    <w:name w:val="МРСК_колонтитул_верхний_левый"/>
    <w:basedOn w:val="728"/>
    <w:next w:val="727"/>
    <w:link w:val="710"/>
    <w:pPr>
      <w:jc w:val="left"/>
    </w:pPr>
    <w:rPr>
      <w:caps/>
      <w:sz w:val="16"/>
      <w:szCs w:val="16"/>
    </w:rPr>
  </w:style>
  <w:style w:type="paragraph" w:styleId="728">
    <w:name w:val="Верхний колонтитул"/>
    <w:basedOn w:val="710"/>
    <w:next w:val="728"/>
    <w:link w:val="729"/>
    <w:uiPriority w:val="99"/>
    <w:semiHidden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729">
    <w:name w:val="Верхний колонтитул Знак"/>
    <w:basedOn w:val="714"/>
    <w:next w:val="729"/>
    <w:link w:val="728"/>
    <w:uiPriority w:val="99"/>
    <w:semiHidden/>
  </w:style>
  <w:style w:type="paragraph" w:styleId="730">
    <w:name w:val="МРСК_колонтитул_верхний_правый"/>
    <w:basedOn w:val="728"/>
    <w:next w:val="730"/>
    <w:link w:val="731"/>
    <w:pPr>
      <w:jc w:val="right"/>
    </w:pPr>
    <w:rPr>
      <w:caps/>
      <w:sz w:val="16"/>
      <w:szCs w:val="16"/>
    </w:rPr>
  </w:style>
  <w:style w:type="character" w:styleId="731">
    <w:name w:val="МРСК_колонтитул_верхний_правый Знак"/>
    <w:next w:val="731"/>
    <w:link w:val="730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732">
    <w:name w:val="МРСК_колонтитул_верхний_центр"/>
    <w:basedOn w:val="728"/>
    <w:next w:val="732"/>
    <w:link w:val="710"/>
    <w:pPr>
      <w:jc w:val="center"/>
    </w:pPr>
    <w:rPr>
      <w:caps/>
      <w:sz w:val="16"/>
      <w:szCs w:val="16"/>
    </w:rPr>
  </w:style>
  <w:style w:type="paragraph" w:styleId="733">
    <w:name w:val="МРСК_маркированный"/>
    <w:basedOn w:val="734"/>
    <w:next w:val="733"/>
    <w:link w:val="710"/>
    <w:pPr>
      <w:numPr>
        <w:ilvl w:val="0"/>
        <w:numId w:val="6"/>
      </w:numPr>
      <w:contextualSpacing w:val="0"/>
    </w:pPr>
  </w:style>
  <w:style w:type="paragraph" w:styleId="734">
    <w:name w:val="Маркированный список"/>
    <w:basedOn w:val="710"/>
    <w:next w:val="734"/>
    <w:link w:val="710"/>
    <w:uiPriority w:val="99"/>
    <w:semiHidden/>
    <w:unhideWhenUsed/>
    <w:pPr>
      <w:contextualSpacing/>
    </w:pPr>
  </w:style>
  <w:style w:type="paragraph" w:styleId="735">
    <w:name w:val="МРСК_название_объекта"/>
    <w:basedOn w:val="710"/>
    <w:next w:val="735"/>
    <w:link w:val="710"/>
    <w:pPr>
      <w:spacing w:before="60" w:line="240" w:lineRule="auto"/>
    </w:pPr>
    <w:rPr>
      <w:b/>
      <w:bCs/>
      <w:sz w:val="20"/>
      <w:szCs w:val="20"/>
    </w:rPr>
  </w:style>
  <w:style w:type="paragraph" w:styleId="736">
    <w:name w:val="МРСК_нумерованный_список"/>
    <w:basedOn w:val="737"/>
    <w:next w:val="736"/>
    <w:link w:val="738"/>
    <w:pPr>
      <w:numPr>
        <w:ilvl w:val="0"/>
        <w:numId w:val="7"/>
      </w:numPr>
      <w:contextualSpacing w:val="0"/>
    </w:pPr>
  </w:style>
  <w:style w:type="paragraph" w:styleId="737">
    <w:name w:val="Нумерованный список"/>
    <w:basedOn w:val="710"/>
    <w:next w:val="737"/>
    <w:link w:val="710"/>
    <w:uiPriority w:val="99"/>
    <w:semiHidden/>
    <w:unhideWhenUsed/>
    <w:pPr>
      <w:numPr>
        <w:ilvl w:val="0"/>
        <w:numId w:val="2"/>
      </w:numPr>
      <w:contextualSpacing/>
    </w:pPr>
  </w:style>
  <w:style w:type="character" w:styleId="738">
    <w:name w:val="МРСК_нумерованный_список Знак"/>
    <w:next w:val="738"/>
    <w:link w:val="736"/>
    <w:rPr>
      <w:sz w:val="24"/>
      <w:szCs w:val="24"/>
      <w:lang w:val="ru-RU" w:eastAsia="ru-RU" w:bidi="ar-SA"/>
    </w:rPr>
  </w:style>
  <w:style w:type="paragraph" w:styleId="739">
    <w:name w:val="МРСК_потоковая_диаграмма"/>
    <w:basedOn w:val="710"/>
    <w:next w:val="739"/>
    <w:link w:val="710"/>
    <w:pPr>
      <w:spacing w:line="240" w:lineRule="auto"/>
    </w:pPr>
    <w:rPr>
      <w:sz w:val="16"/>
      <w:szCs w:val="16"/>
    </w:rPr>
  </w:style>
  <w:style w:type="paragraph" w:styleId="740">
    <w:name w:val="МРСК_потоковая_диаграмма_по_центру"/>
    <w:basedOn w:val="739"/>
    <w:next w:val="740"/>
    <w:link w:val="710"/>
    <w:pPr>
      <w:jc w:val="center"/>
    </w:pPr>
  </w:style>
  <w:style w:type="paragraph" w:styleId="741">
    <w:name w:val="МРСК_Приложения"/>
    <w:basedOn w:val="726"/>
    <w:next w:val="741"/>
    <w:link w:val="710"/>
    <w:pPr>
      <w:spacing w:before="6000"/>
    </w:pPr>
  </w:style>
  <w:style w:type="paragraph" w:styleId="742">
    <w:name w:val="МРСК_рисунок"/>
    <w:basedOn w:val="710"/>
    <w:next w:val="742"/>
    <w:link w:val="710"/>
    <w:pPr>
      <w:jc w:val="center"/>
      <w:spacing w:line="240" w:lineRule="auto"/>
    </w:pPr>
    <w:rPr>
      <w:sz w:val="16"/>
      <w:szCs w:val="16"/>
    </w:rPr>
  </w:style>
  <w:style w:type="paragraph" w:styleId="743">
    <w:name w:val="МРСК_Скрытый"/>
    <w:basedOn w:val="725"/>
    <w:next w:val="743"/>
    <w:link w:val="710"/>
    <w:pPr>
      <w:jc w:val="left"/>
    </w:pPr>
    <w:rPr>
      <w:b w:val="0"/>
      <w:color w:val="ffffff"/>
      <w:sz w:val="16"/>
      <w:szCs w:val="16"/>
    </w:rPr>
  </w:style>
  <w:style w:type="paragraph" w:styleId="744">
    <w:name w:val="МРСК_таблица_заголовок"/>
    <w:basedOn w:val="710"/>
    <w:next w:val="744"/>
    <w:link w:val="710"/>
    <w:pPr>
      <w:jc w:val="center"/>
      <w:spacing w:line="240" w:lineRule="auto"/>
    </w:pPr>
    <w:rPr>
      <w:sz w:val="20"/>
      <w:szCs w:val="20"/>
    </w:rPr>
  </w:style>
  <w:style w:type="paragraph" w:styleId="745">
    <w:name w:val="МРСК_таблица_текст"/>
    <w:basedOn w:val="744"/>
    <w:next w:val="745"/>
    <w:link w:val="710"/>
    <w:pPr>
      <w:jc w:val="both"/>
    </w:pPr>
  </w:style>
  <w:style w:type="paragraph" w:styleId="746">
    <w:name w:val="МРСК_шрифт_абзаца_без_отступа"/>
    <w:basedOn w:val="710"/>
    <w:next w:val="746"/>
    <w:link w:val="710"/>
    <w:pPr>
      <w:jc w:val="left"/>
      <w:spacing w:line="240" w:lineRule="auto"/>
    </w:pPr>
  </w:style>
  <w:style w:type="paragraph" w:styleId="747">
    <w:name w:val="МРСК_шрифт_абзаца_без_отступа_по_центру"/>
    <w:basedOn w:val="746"/>
    <w:next w:val="747"/>
    <w:link w:val="710"/>
    <w:pPr>
      <w:jc w:val="center"/>
    </w:pPr>
  </w:style>
  <w:style w:type="paragraph" w:styleId="748">
    <w:name w:val="МРСК_обычный_текст"/>
    <w:basedOn w:val="710"/>
    <w:next w:val="748"/>
    <w:link w:val="710"/>
    <w:qFormat/>
    <w:pPr>
      <w:spacing w:line="240" w:lineRule="auto"/>
    </w:pPr>
  </w:style>
  <w:style w:type="paragraph" w:styleId="749">
    <w:name w:val="МРСК_таблица_название"/>
    <w:basedOn w:val="750"/>
    <w:next w:val="749"/>
    <w:link w:val="710"/>
    <w:pPr>
      <w:jc w:val="left"/>
      <w:spacing w:before="60"/>
    </w:pPr>
    <w:rPr>
      <w:color w:val="000000"/>
      <w:sz w:val="20"/>
      <w:szCs w:val="20"/>
    </w:rPr>
  </w:style>
  <w:style w:type="paragraph" w:styleId="750">
    <w:name w:val="Название объекта"/>
    <w:basedOn w:val="710"/>
    <w:next w:val="710"/>
    <w:link w:val="710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751">
    <w:name w:val="МРСК_заголовок_3"/>
    <w:basedOn w:val="713"/>
    <w:next w:val="751"/>
    <w:link w:val="710"/>
    <w:qFormat/>
    <w:pPr>
      <w:numPr>
        <w:ilvl w:val="0"/>
        <w:numId w:val="4"/>
      </w:numPr>
    </w:pPr>
    <w:rPr>
      <w:caps/>
    </w:rPr>
  </w:style>
  <w:style w:type="paragraph" w:styleId="752">
    <w:name w:val="Мой_обычный"/>
    <w:basedOn w:val="710"/>
    <w:next w:val="752"/>
    <w:link w:val="710"/>
    <w:qFormat/>
    <w:pPr>
      <w:framePr w:hSpace="180" w:wrap="around" w:vAnchor="text" w:hAnchor="margin" w:y="137"/>
    </w:pPr>
  </w:style>
  <w:style w:type="paragraph" w:styleId="753">
    <w:name w:val="МРСК_колонтитул_верхний_центр_курсив"/>
    <w:basedOn w:val="732"/>
    <w:next w:val="753"/>
    <w:link w:val="710"/>
    <w:qFormat/>
    <w:pPr>
      <w:framePr w:hSpace="180" w:wrap="around" w:vAnchor="text" w:hAnchor="margin" w:y="137"/>
    </w:pPr>
    <w:rPr>
      <w:i/>
      <w:sz w:val="12"/>
    </w:rPr>
  </w:style>
  <w:style w:type="paragraph" w:styleId="754">
    <w:name w:val="Б_скрытый"/>
    <w:basedOn w:val="710"/>
    <w:next w:val="754"/>
    <w:link w:val="710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755">
    <w:name w:val="Гиперссылка"/>
    <w:next w:val="755"/>
    <w:link w:val="710"/>
    <w:uiPriority w:val="99"/>
    <w:rPr>
      <w:color w:val="0000ff"/>
      <w:u w:val="single"/>
    </w:rPr>
  </w:style>
  <w:style w:type="paragraph" w:styleId="756">
    <w:name w:val="Оглавление 1"/>
    <w:basedOn w:val="710"/>
    <w:next w:val="710"/>
    <w:link w:val="710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757">
    <w:name w:val="Оглавление 2"/>
    <w:basedOn w:val="710"/>
    <w:next w:val="710"/>
    <w:link w:val="710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758">
    <w:name w:val="Нижний колонтитул"/>
    <w:basedOn w:val="710"/>
    <w:next w:val="758"/>
    <w:link w:val="759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759">
    <w:name w:val="Нижний колонтитул Знак"/>
    <w:next w:val="759"/>
    <w:link w:val="75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0">
    <w:name w:val="Текст"/>
    <w:basedOn w:val="710"/>
    <w:next w:val="760"/>
    <w:link w:val="761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761">
    <w:name w:val="Текст Знак"/>
    <w:next w:val="761"/>
    <w:link w:val="760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762">
    <w:name w:val="Заголовок оглавления"/>
    <w:basedOn w:val="711"/>
    <w:next w:val="710"/>
    <w:link w:val="710"/>
    <w:uiPriority w:val="39"/>
    <w:qFormat/>
    <w:pPr>
      <w:keepLines w:val="0"/>
      <w:spacing w:before="240" w:after="60"/>
      <w:outlineLvl w:val="9"/>
    </w:pPr>
    <w:rPr>
      <w:rFonts w:ascii="Cambria" w:hAnsi="Cambria" w:eastAsia="Times New Roman" w:cs="Times New Roman"/>
      <w:color w:val="000000"/>
      <w:sz w:val="32"/>
      <w:szCs w:val="32"/>
    </w:rPr>
  </w:style>
  <w:style w:type="paragraph" w:styleId="763">
    <w:name w:val="Оглавление 3"/>
    <w:basedOn w:val="710"/>
    <w:next w:val="710"/>
    <w:link w:val="710"/>
    <w:uiPriority w:val="39"/>
    <w:unhideWhenUsed/>
    <w:pPr>
      <w:ind w:left="480"/>
    </w:pPr>
  </w:style>
  <w:style w:type="paragraph" w:styleId="764">
    <w:name w:val="Знак"/>
    <w:basedOn w:val="710"/>
    <w:next w:val="764"/>
    <w:link w:val="710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765">
    <w:name w:val="Основной текст"/>
    <w:basedOn w:val="710"/>
    <w:next w:val="765"/>
    <w:link w:val="766"/>
    <w:uiPriority w:val="99"/>
    <w:pPr>
      <w:ind w:firstLine="0"/>
      <w:keepNext w:val="0"/>
      <w:spacing w:line="240" w:lineRule="auto"/>
    </w:pPr>
  </w:style>
  <w:style w:type="character" w:styleId="766">
    <w:name w:val="Основной текст Знак"/>
    <w:next w:val="766"/>
    <w:link w:val="765"/>
    <w:uiPriority w:val="99"/>
    <w:rPr>
      <w:rFonts w:ascii="Times New Roman" w:hAnsi="Times New Roman" w:eastAsia="Times New Roman"/>
      <w:sz w:val="24"/>
      <w:szCs w:val="24"/>
    </w:rPr>
  </w:style>
  <w:style w:type="paragraph" w:styleId="767">
    <w:name w:val="Название"/>
    <w:basedOn w:val="710"/>
    <w:next w:val="710"/>
    <w:link w:val="768"/>
    <w:uiPriority w:val="10"/>
    <w:qFormat/>
    <w:pPr>
      <w:jc w:val="center"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768">
    <w:name w:val="Название Знак"/>
    <w:next w:val="768"/>
    <w:link w:val="767"/>
    <w:uiPriority w:val="10"/>
    <w:rPr>
      <w:rFonts w:ascii="Cambria" w:hAnsi="Cambria" w:eastAsia="Times New Roman" w:cs="Times New Roman"/>
      <w:b/>
      <w:bCs/>
      <w:sz w:val="32"/>
      <w:szCs w:val="32"/>
    </w:rPr>
  </w:style>
  <w:style w:type="character" w:styleId="769">
    <w:name w:val="комментарий"/>
    <w:next w:val="769"/>
    <w:link w:val="710"/>
    <w:rPr>
      <w:b/>
      <w:i/>
      <w:sz w:val="28"/>
    </w:rPr>
  </w:style>
  <w:style w:type="paragraph" w:styleId="770">
    <w:name w:val="Абзац списка"/>
    <w:basedOn w:val="710"/>
    <w:next w:val="770"/>
    <w:link w:val="710"/>
    <w:uiPriority w:val="34"/>
    <w:qFormat/>
    <w:pPr>
      <w:ind w:left="708" w:firstLine="0"/>
      <w:jc w:val="left"/>
      <w:keepNext w:val="0"/>
      <w:spacing w:line="240" w:lineRule="auto"/>
    </w:pPr>
  </w:style>
  <w:style w:type="paragraph" w:styleId="771">
    <w:name w:val="Без интервала"/>
    <w:next w:val="771"/>
    <w:link w:val="710"/>
    <w:uiPriority w:val="1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772">
    <w:name w:val="Пункт"/>
    <w:basedOn w:val="710"/>
    <w:next w:val="772"/>
    <w:link w:val="710"/>
    <w:pPr>
      <w:numPr>
        <w:ilvl w:val="2"/>
        <w:numId w:val="1"/>
      </w:numPr>
      <w:ind w:left="1134" w:hanging="1134"/>
      <w:keepNext w:val="0"/>
      <w:spacing w:line="360" w:lineRule="auto"/>
      <w:tabs>
        <w:tab w:val="num" w:pos="1134" w:leader="none"/>
        <w:tab w:val="clear" w:pos="1224" w:leader="none"/>
      </w:tabs>
    </w:pPr>
    <w:rPr>
      <w:sz w:val="28"/>
      <w:szCs w:val="20"/>
    </w:rPr>
  </w:style>
  <w:style w:type="paragraph" w:styleId="773">
    <w:name w:val="Текст выноски"/>
    <w:basedOn w:val="710"/>
    <w:next w:val="773"/>
    <w:link w:val="77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774">
    <w:name w:val="Текст выноски Знак"/>
    <w:next w:val="774"/>
    <w:link w:val="773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775">
    <w:name w:val="Номер страницы"/>
    <w:basedOn w:val="714"/>
    <w:next w:val="775"/>
    <w:link w:val="710"/>
  </w:style>
  <w:style w:type="paragraph" w:styleId="776">
    <w:name w:val=" Знак1"/>
    <w:basedOn w:val="710"/>
    <w:next w:val="776"/>
    <w:link w:val="710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777">
    <w:name w:val="Основной текст с отступом"/>
    <w:basedOn w:val="710"/>
    <w:next w:val="777"/>
    <w:link w:val="778"/>
    <w:uiPriority w:val="99"/>
    <w:unhideWhenUsed/>
    <w:pPr>
      <w:ind w:left="283"/>
      <w:spacing w:after="120"/>
    </w:pPr>
  </w:style>
  <w:style w:type="character" w:styleId="778">
    <w:name w:val="Основной текст с отступом Знак"/>
    <w:next w:val="778"/>
    <w:link w:val="777"/>
    <w:uiPriority w:val="99"/>
    <w:rPr>
      <w:rFonts w:ascii="Times New Roman" w:hAnsi="Times New Roman" w:eastAsia="Times New Roman"/>
      <w:sz w:val="24"/>
      <w:szCs w:val="24"/>
    </w:rPr>
  </w:style>
  <w:style w:type="table" w:styleId="779">
    <w:name w:val="Сетка таблицы"/>
    <w:basedOn w:val="715"/>
    <w:next w:val="779"/>
    <w:link w:val="710"/>
    <w:uiPriority w:val="59"/>
    <w:tblPr/>
  </w:style>
  <w:style w:type="paragraph" w:styleId="780">
    <w:name w:val="текст таблицы"/>
    <w:basedOn w:val="710"/>
    <w:next w:val="780"/>
    <w:link w:val="710"/>
    <w:pPr>
      <w:ind w:right="-102" w:firstLine="0"/>
      <w:jc w:val="left"/>
      <w:keepNext w:val="0"/>
      <w:spacing w:before="120" w:line="240" w:lineRule="auto"/>
    </w:pPr>
  </w:style>
  <w:style w:type="character" w:styleId="781">
    <w:name w:val="Просмотренная гиперссылка"/>
    <w:next w:val="781"/>
    <w:link w:val="710"/>
    <w:uiPriority w:val="99"/>
    <w:semiHidden/>
    <w:unhideWhenUsed/>
    <w:rPr>
      <w:color w:val="800080"/>
      <w:u w:val="single"/>
    </w:rPr>
  </w:style>
  <w:style w:type="character" w:styleId="782">
    <w:name w:val="Знак примечания"/>
    <w:next w:val="782"/>
    <w:link w:val="710"/>
    <w:uiPriority w:val="99"/>
    <w:semiHidden/>
    <w:unhideWhenUsed/>
    <w:rPr>
      <w:sz w:val="16"/>
      <w:szCs w:val="16"/>
    </w:rPr>
  </w:style>
  <w:style w:type="paragraph" w:styleId="783">
    <w:name w:val="Текст примечания"/>
    <w:basedOn w:val="710"/>
    <w:next w:val="783"/>
    <w:link w:val="784"/>
    <w:uiPriority w:val="99"/>
    <w:semiHidden/>
    <w:unhideWhenUsed/>
    <w:rPr>
      <w:sz w:val="20"/>
      <w:szCs w:val="20"/>
    </w:rPr>
  </w:style>
  <w:style w:type="character" w:styleId="784">
    <w:name w:val="Текст примечания Знак"/>
    <w:next w:val="784"/>
    <w:link w:val="783"/>
    <w:uiPriority w:val="99"/>
    <w:semiHidden/>
    <w:rPr>
      <w:rFonts w:ascii="Times New Roman" w:hAnsi="Times New Roman" w:eastAsia="Times New Roman"/>
    </w:rPr>
  </w:style>
  <w:style w:type="paragraph" w:styleId="785">
    <w:name w:val="Тема примечания"/>
    <w:basedOn w:val="783"/>
    <w:next w:val="783"/>
    <w:link w:val="786"/>
    <w:uiPriority w:val="99"/>
    <w:semiHidden/>
    <w:unhideWhenUsed/>
    <w:rPr>
      <w:b/>
      <w:bCs/>
    </w:rPr>
  </w:style>
  <w:style w:type="character" w:styleId="786">
    <w:name w:val="Тема примечания Знак"/>
    <w:next w:val="786"/>
    <w:link w:val="785"/>
    <w:uiPriority w:val="99"/>
    <w:semiHidden/>
    <w:rPr>
      <w:rFonts w:ascii="Times New Roman" w:hAnsi="Times New Roman" w:eastAsia="Times New Roman"/>
      <w:b/>
      <w:bCs/>
    </w:rPr>
  </w:style>
  <w:style w:type="character" w:styleId="2283" w:default="1">
    <w:name w:val="Default Paragraph Font"/>
    <w:uiPriority w:val="1"/>
    <w:semiHidden/>
    <w:unhideWhenUsed/>
  </w:style>
  <w:style w:type="numbering" w:styleId="2284" w:default="1">
    <w:name w:val="No List"/>
    <w:uiPriority w:val="99"/>
    <w:semiHidden/>
    <w:unhideWhenUsed/>
  </w:style>
  <w:style w:type="table" w:styleId="228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MRSK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revision>14</cp:revision>
  <dcterms:created xsi:type="dcterms:W3CDTF">2023-01-25T10:10:00Z</dcterms:created>
  <dcterms:modified xsi:type="dcterms:W3CDTF">2024-03-27T04:19:45Z</dcterms:modified>
  <cp:version>917504</cp:version>
</cp:coreProperties>
</file>